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4638B69B" w14:textId="2DBBEE62" w:rsidR="00203A6D" w:rsidRPr="00203A6D" w:rsidRDefault="00203A6D" w:rsidP="00203A6D">
      <w:hyperlink r:id="rId6" w:history="1">
        <w:r w:rsidRPr="00A40270">
          <w:rPr>
            <w:rStyle w:val="Collegamentoipertestuale"/>
          </w:rPr>
          <w:t>https://www.quotidiano.net/economia/ultimaora/massimo-mocio-confermato-presidente-assiom-c9942ce2</w:t>
        </w:r>
      </w:hyperlink>
      <w:r>
        <w:t xml:space="preserve"> </w:t>
      </w:r>
    </w:p>
    <w:p w14:paraId="700BFE09" w14:textId="13AB1E2F" w:rsidR="00D6147A" w:rsidRDefault="00D6147A" w:rsidP="00203A6D"/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.net/economia/ultimaora/massimo-mocio-confermato-presidente-assiom-c9942ce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2025-02-18T17:00:00Z</dcterms:created>
  <dcterms:modified xsi:type="dcterms:W3CDTF">2025-02-18T17:00:00Z</dcterms:modified>
</cp:coreProperties>
</file>